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0540A">
      <w:pPr>
        <w:pStyle w:val="Heading2"/>
        <w:divId w:val="1288316430"/>
        <w:rPr>
          <w:rFonts w:eastAsia="Times New Roman"/>
        </w:rPr>
      </w:pPr>
      <w:r>
        <w:rPr>
          <w:rFonts w:eastAsia="Times New Roman"/>
        </w:rPr>
        <w:t xml:space="preserve">Chapter 16 </w:t>
      </w:r>
      <w:r>
        <w:rPr>
          <w:rFonts w:eastAsia="Times New Roman"/>
        </w:rPr>
        <w:t> </w:t>
      </w:r>
      <w:r>
        <w:rPr>
          <w:rFonts w:eastAsia="Times New Roman"/>
        </w:rPr>
        <w:t xml:space="preserve"> HUMAN RIGHTS </w:t>
      </w:r>
      <w:hyperlink w:history="1" w:anchor="BK_8821E27E3032CAD393FC43B8A4B96C5E">
        <w:r>
          <w:rPr>
            <w:rStyle w:val="Hyperlink"/>
            <w:rFonts w:eastAsia="Times New Roman"/>
            <w:vertAlign w:val="superscript"/>
          </w:rPr>
          <w:t>[1]</w:t>
        </w:r>
      </w:hyperlink>
      <w:r>
        <w:rPr>
          <w:rFonts w:eastAsia="Times New Roman"/>
        </w:rPr>
        <w:t xml:space="preserve"> </w:t>
      </w:r>
    </w:p>
    <w:p w:rsidR="00000000" w:rsidRDefault="0060540A">
      <w:pPr>
        <w:divId w:val="965431004"/>
        <w:rPr>
          <w:rFonts w:eastAsia="Times New Roman"/>
        </w:rPr>
      </w:pPr>
      <w:r>
        <w:rPr>
          <w:rFonts w:eastAsia="Times New Roman"/>
        </w:rPr>
        <w:t xml:space="preserve">ARTICLE I. - IN GENERAL </w:t>
      </w:r>
    </w:p>
    <w:p w:rsidR="00000000" w:rsidRDefault="0060540A">
      <w:pPr>
        <w:divId w:val="1691300833"/>
        <w:rPr>
          <w:rFonts w:eastAsia="Times New Roman"/>
        </w:rPr>
      </w:pPr>
      <w:r>
        <w:rPr>
          <w:rFonts w:eastAsia="Times New Roman"/>
        </w:rPr>
        <w:t xml:space="preserve">ARTICLE II. - FAIR HOUSING </w:t>
      </w:r>
    </w:p>
    <w:p w:rsidR="00000000" w:rsidRDefault="0060540A">
      <w:pPr>
        <w:divId w:val="1982734471"/>
        <w:rPr>
          <w:rFonts w:eastAsia="Times New Roman"/>
        </w:rPr>
      </w:pPr>
    </w:p>
    <w:p w:rsidR="00000000" w:rsidRDefault="0060540A">
      <w:pPr>
        <w:divId w:val="1982734471"/>
        <w:rPr>
          <w:rFonts w:eastAsia="Times New Roman"/>
        </w:rPr>
      </w:pPr>
      <w:r>
        <w:rPr>
          <w:rFonts w:eastAsia="Times New Roman"/>
        </w:rPr>
        <w:pict>
          <v:rect id="_x0000_i1025" style="width:0;height:1.5pt" o:hr="t" o:hrstd="t" o:hralign="center" fillcolor="#a0a0a0" stroked="f"/>
        </w:pict>
      </w:r>
    </w:p>
    <w:p w:rsidR="00000000" w:rsidRDefault="0060540A">
      <w:pPr>
        <w:pStyle w:val="b0"/>
        <w:divId w:val="1982734471"/>
        <w:rPr>
          <w:rFonts w:eastAsiaTheme="minorEastAsia"/>
        </w:rPr>
      </w:pPr>
      <w:r>
        <w:t>FOOTNOTE(S):</w:t>
      </w:r>
    </w:p>
    <w:p w:rsidR="00000000" w:rsidRDefault="0060540A">
      <w:pPr>
        <w:divId w:val="1982734471"/>
        <w:rPr>
          <w:rFonts w:eastAsia="Times New Roman"/>
        </w:rPr>
      </w:pPr>
      <w:r>
        <w:rPr>
          <w:rFonts w:eastAsia="Times New Roman"/>
        </w:rPr>
        <w:pict>
          <v:rect id="_x0000_i1026" style="width:0;height:1.5pt" o:hr="t" o:hrstd="t" o:hralign="center" fillcolor="#a0a0a0" stroked="f"/>
        </w:pict>
      </w:r>
    </w:p>
    <w:p w:rsidR="00000000" w:rsidRDefault="0060540A">
      <w:pPr>
        <w:pStyle w:val="fnmarkfn"/>
        <w:divId w:val="1927611398"/>
      </w:pPr>
      <w:r>
        <w:t>--- (</w:t>
      </w:r>
      <w:r>
        <w:rPr>
          <w:b/>
          <w:bCs/>
        </w:rPr>
        <w:t>1</w:t>
      </w:r>
      <w:r>
        <w:t xml:space="preserve">) --- </w:t>
      </w:r>
    </w:p>
    <w:p w:rsidR="00000000" w:rsidRDefault="0060540A">
      <w:pPr>
        <w:pStyle w:val="refstatelawfn"/>
        <w:divId w:val="1927611398"/>
      </w:pPr>
      <w:r>
        <w:rPr>
          <w:b/>
          <w:bCs/>
        </w:rPr>
        <w:t xml:space="preserve">State Law reference— </w:t>
      </w:r>
      <w:r>
        <w:t xml:space="preserve">Illinois Human Rights Act, 775 ILCS 5/1-101 et seq. </w:t>
      </w:r>
      <w:hyperlink w:history="1" w:anchor="BK_0DAEE7B76B4AF8AF1BB5391E6BE3A810">
        <w:r>
          <w:rPr>
            <w:rStyle w:val="Hyperlink"/>
          </w:rPr>
          <w:t>(Back)</w:t>
        </w:r>
      </w:hyperlink>
    </w:p>
    <w:p w:rsidR="00000000" w:rsidRDefault="0060540A">
      <w:pPr>
        <w:pStyle w:val="Heading3"/>
        <w:divId w:val="1893924911"/>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60540A">
      <w:pPr>
        <w:pStyle w:val="seclink"/>
        <w:divId w:val="1893924911"/>
        <w:rPr>
          <w:rFonts w:eastAsiaTheme="minorEastAsia"/>
        </w:rPr>
      </w:pPr>
      <w:hyperlink w:history="1" w:anchor="BK_12377AA46E8584BEB32F7E114D967359">
        <w:r>
          <w:rPr>
            <w:rStyle w:val="Hyperlink"/>
          </w:rPr>
          <w:t>Secs. 16-1—16-18. Reserved.</w:t>
        </w:r>
      </w:hyperlink>
    </w:p>
    <w:p w:rsidR="00000000" w:rsidRDefault="0060540A">
      <w:pPr>
        <w:divId w:val="1893924911"/>
        <w:rPr>
          <w:rFonts w:eastAsia="Times New Roman"/>
        </w:rPr>
      </w:pPr>
      <w:r>
        <w:rPr>
          <w:rFonts w:eastAsia="Times New Roman"/>
        </w:rPr>
        <w:br/>
      </w:r>
    </w:p>
    <w:p w:rsidR="00000000" w:rsidRDefault="0060540A">
      <w:pPr>
        <w:pStyle w:val="sec"/>
        <w:divId w:val="1893924911"/>
      </w:pPr>
      <w:bookmarkStart w:name="BK_12377AA46E8584BEB32F7E114D967359" w:id="1"/>
      <w:bookmarkEnd w:id="1"/>
      <w:r>
        <w:t xml:space="preserve">Secs. 16-1—16-18. </w:t>
      </w:r>
      <w:r>
        <w:t> </w:t>
      </w:r>
      <w:r>
        <w:t xml:space="preserve"> Reserved.</w:t>
      </w:r>
    </w:p>
    <w:p w:rsidR="00000000" w:rsidRDefault="0060540A">
      <w:pPr>
        <w:pStyle w:val="Heading3"/>
        <w:divId w:val="465896422"/>
        <w:rPr>
          <w:rFonts w:eastAsia="Times New Roman"/>
        </w:rPr>
      </w:pPr>
      <w:r>
        <w:rPr>
          <w:rFonts w:eastAsia="Times New Roman"/>
        </w:rPr>
        <w:t xml:space="preserve">ARTICLE II. </w:t>
      </w:r>
      <w:r>
        <w:rPr>
          <w:rFonts w:eastAsia="Times New Roman"/>
        </w:rPr>
        <w:t> </w:t>
      </w:r>
      <w:r>
        <w:rPr>
          <w:rFonts w:eastAsia="Times New Roman"/>
        </w:rPr>
        <w:t xml:space="preserve"> FAIR HOUSING </w:t>
      </w:r>
      <w:hyperlink w:history="1" w:anchor="BK_6828A224BD92C7C9D9A080CAB3EF69EA">
        <w:r>
          <w:rPr>
            <w:rStyle w:val="Hyperlink"/>
            <w:rFonts w:eastAsia="Times New Roman"/>
            <w:vertAlign w:val="superscript"/>
          </w:rPr>
          <w:t>[2]</w:t>
        </w:r>
      </w:hyperlink>
      <w:r>
        <w:rPr>
          <w:rFonts w:eastAsia="Times New Roman"/>
        </w:rPr>
        <w:t xml:space="preserve"> </w:t>
      </w:r>
    </w:p>
    <w:p w:rsidR="00000000" w:rsidRDefault="0060540A">
      <w:pPr>
        <w:pStyle w:val="seclink"/>
        <w:divId w:val="465896422"/>
        <w:rPr>
          <w:rFonts w:eastAsiaTheme="minorEastAsia"/>
        </w:rPr>
      </w:pPr>
      <w:hyperlink w:history="1" w:anchor="BK_9A979C778B57D997F2C58348CA6FCA1A">
        <w:r>
          <w:rPr>
            <w:rStyle w:val="Hyperlink"/>
          </w:rPr>
          <w:t>Sec. 16-19. Definitions.</w:t>
        </w:r>
      </w:hyperlink>
    </w:p>
    <w:p w:rsidR="00000000" w:rsidRDefault="0060540A">
      <w:pPr>
        <w:pStyle w:val="seclink"/>
        <w:divId w:val="465896422"/>
      </w:pPr>
      <w:hyperlink w:history="1" w:anchor="BK_967E3ADB9329A6B1797D37336C7CD3E7">
        <w:r>
          <w:rPr>
            <w:rStyle w:val="Hyperlink"/>
          </w:rPr>
          <w:t>Sec. 16-20. Declaration of policy.</w:t>
        </w:r>
      </w:hyperlink>
    </w:p>
    <w:p w:rsidR="00000000" w:rsidRDefault="0060540A">
      <w:pPr>
        <w:pStyle w:val="seclink"/>
        <w:divId w:val="465896422"/>
      </w:pPr>
      <w:hyperlink w:history="1" w:anchor="BK_DA5394169F8DE6137CC2F8BC7C9A768C">
        <w:r>
          <w:rPr>
            <w:rStyle w:val="Hyperlink"/>
          </w:rPr>
          <w:t>Sec. 16-21. Prohibited acts.</w:t>
        </w:r>
      </w:hyperlink>
    </w:p>
    <w:p w:rsidR="00000000" w:rsidRDefault="0060540A">
      <w:pPr>
        <w:divId w:val="465896422"/>
        <w:rPr>
          <w:rFonts w:eastAsia="Times New Roman"/>
        </w:rPr>
      </w:pPr>
      <w:r>
        <w:rPr>
          <w:rFonts w:eastAsia="Times New Roman"/>
        </w:rPr>
        <w:br/>
      </w:r>
    </w:p>
    <w:p w:rsidR="00000000" w:rsidRDefault="0060540A">
      <w:pPr>
        <w:pStyle w:val="sec"/>
        <w:divId w:val="465896422"/>
      </w:pPr>
      <w:bookmarkStart w:name="BK_9A979C778B57D997F2C58348CA6FCA1A" w:id="2"/>
      <w:bookmarkEnd w:id="2"/>
      <w:r>
        <w:t xml:space="preserve">Sec. 16-19. </w:t>
      </w:r>
      <w:r>
        <w:t> </w:t>
      </w:r>
      <w:r>
        <w:t xml:space="preserve"> Definitions.</w:t>
      </w:r>
    </w:p>
    <w:p w:rsidR="00000000" w:rsidRDefault="0060540A">
      <w:pPr>
        <w:pStyle w:val="p0"/>
        <w:divId w:val="465896422"/>
      </w:pPr>
      <w:r>
        <w:t>The following words, terms and phrases, when used in this article, shall have the meanings ascribed to them in this section, except whe</w:t>
      </w:r>
      <w:r>
        <w:t xml:space="preserve">re the context clearly indicates a different meaning: </w:t>
      </w:r>
    </w:p>
    <w:p w:rsidR="00000000" w:rsidRDefault="0060540A">
      <w:pPr>
        <w:pStyle w:val="p0"/>
        <w:divId w:val="465896422"/>
      </w:pPr>
      <w:r>
        <w:rPr>
          <w:i/>
          <w:iCs/>
        </w:rPr>
        <w:t>Decent, sanitary, healthful standard living quarters</w:t>
      </w:r>
      <w:r>
        <w:t xml:space="preserve"> means housing which is in sound, clean, and weathertight condition in conformance with applicable local, state, and national codes. </w:t>
      </w:r>
    </w:p>
    <w:p w:rsidR="00000000" w:rsidRDefault="0060540A">
      <w:pPr>
        <w:pStyle w:val="p0"/>
        <w:divId w:val="465896422"/>
      </w:pPr>
      <w:r>
        <w:rPr>
          <w:i/>
          <w:iCs/>
        </w:rPr>
        <w:t>Discriminate</w:t>
      </w:r>
      <w:r>
        <w:t xml:space="preserve"> or</w:t>
      </w:r>
      <w:r>
        <w:t xml:space="preserve"> </w:t>
      </w:r>
      <w:r>
        <w:rPr>
          <w:i/>
          <w:iCs/>
        </w:rPr>
        <w:t>discrimination</w:t>
      </w:r>
      <w:r>
        <w:t xml:space="preserve"> means any difference expressed in any way toward a person in the terms of the sale, exchange, lease, rental or financing for, housing accommodation and/or real property </w:t>
      </w:r>
      <w:r>
        <w:t xml:space="preserve">in regard to such sale, exchange, rental, lease or finance because of race, color, religion, national origin or ancestry, sex, creed, or physical or mental disability of such person. </w:t>
      </w:r>
    </w:p>
    <w:p w:rsidR="00000000" w:rsidRDefault="0060540A">
      <w:pPr>
        <w:pStyle w:val="p0"/>
        <w:divId w:val="465896422"/>
      </w:pPr>
      <w:r>
        <w:rPr>
          <w:i/>
          <w:iCs/>
        </w:rPr>
        <w:t>Financial institution</w:t>
      </w:r>
      <w:r>
        <w:t xml:space="preserve"> means any person, institution or business entity o</w:t>
      </w:r>
      <w:r>
        <w:t xml:space="preserve">f any kind which loans money to persons and receives as security for said loans a secured interest of any kind in the real property of the borrower. </w:t>
      </w:r>
    </w:p>
    <w:p w:rsidR="00000000" w:rsidRDefault="0060540A">
      <w:pPr>
        <w:pStyle w:val="p0"/>
        <w:divId w:val="465896422"/>
      </w:pPr>
      <w:r>
        <w:rPr>
          <w:i/>
          <w:iCs/>
        </w:rPr>
        <w:t>Housing accommodation</w:t>
      </w:r>
      <w:r>
        <w:t xml:space="preserve"> includes any building, structure, or portion thereof which is used or occupied, main</w:t>
      </w:r>
      <w:r>
        <w:t xml:space="preserve">tained, arranged or designed to be used or occupied as a home, residence or sleeping place of one or more human beings, or any real estate so used, designed or intended for such use. </w:t>
      </w:r>
    </w:p>
    <w:p w:rsidR="00000000" w:rsidRDefault="0060540A">
      <w:pPr>
        <w:pStyle w:val="p0"/>
        <w:divId w:val="465896422"/>
      </w:pPr>
      <w:r>
        <w:rPr>
          <w:i/>
          <w:iCs/>
        </w:rPr>
        <w:t>Owner</w:t>
      </w:r>
      <w:r>
        <w:t xml:space="preserve"> </w:t>
      </w:r>
      <w:r>
        <w:t>means any person who holds legal or equitable title to, or owns any beneficial interest in any real property or who holds legal or equitable title to shares of, or holds any beneficial interest in any real estate cooperative which owns any real property an</w:t>
      </w:r>
      <w:r>
        <w:t xml:space="preserve">d/or housing accommodations. </w:t>
      </w:r>
    </w:p>
    <w:p w:rsidR="00000000" w:rsidRDefault="0060540A">
      <w:pPr>
        <w:pStyle w:val="p0"/>
        <w:divId w:val="465896422"/>
      </w:pPr>
      <w:r>
        <w:rPr>
          <w:i/>
          <w:iCs/>
        </w:rPr>
        <w:t>Real estate broker</w:t>
      </w:r>
      <w:r>
        <w:t xml:space="preserve"> means any person, partnership, association, corporation and/or agent thereof, who for a fee or other valuable consideration offers, sells, purchases, exchanges or rents, or negotiates, for the sale, purchase</w:t>
      </w:r>
      <w:r>
        <w:t xml:space="preserve">, exchange or rental of a housing accommodation and/or real property of another, or collects rental for the use of a housing accommodation and/or real property of another. </w:t>
      </w:r>
    </w:p>
    <w:p w:rsidR="00000000" w:rsidRDefault="0060540A">
      <w:pPr>
        <w:pStyle w:val="p0"/>
        <w:divId w:val="465896422"/>
      </w:pPr>
      <w:r>
        <w:rPr>
          <w:i/>
          <w:iCs/>
        </w:rPr>
        <w:t>Real property</w:t>
      </w:r>
      <w:r>
        <w:t xml:space="preserve"> means any real estate, vacant land, building, structure or housing ac</w:t>
      </w:r>
      <w:r>
        <w:t xml:space="preserve">commodations within the corporate limits of the Village of Arthur, Illinois. </w:t>
      </w:r>
    </w:p>
    <w:p w:rsidR="00000000" w:rsidRDefault="0060540A">
      <w:pPr>
        <w:pStyle w:val="historynote0"/>
        <w:divId w:val="465896422"/>
      </w:pPr>
      <w:r>
        <w:t xml:space="preserve">(Ord. No. 12-21B-98, § 2, 12-21-1998) </w:t>
      </w:r>
    </w:p>
    <w:p w:rsidR="00000000" w:rsidRDefault="0060540A">
      <w:pPr>
        <w:pStyle w:val="sec"/>
        <w:divId w:val="465896422"/>
      </w:pPr>
      <w:bookmarkStart w:name="BK_967E3ADB9329A6B1797D37336C7CD3E7" w:id="3"/>
      <w:bookmarkEnd w:id="3"/>
      <w:r>
        <w:t xml:space="preserve">Sec. 16-20. </w:t>
      </w:r>
      <w:r>
        <w:t> </w:t>
      </w:r>
      <w:r>
        <w:t xml:space="preserve"> Declaration of policy.</w:t>
      </w:r>
    </w:p>
    <w:p w:rsidR="00000000" w:rsidRDefault="0060540A">
      <w:pPr>
        <w:pStyle w:val="list0"/>
        <w:divId w:val="465896422"/>
      </w:pPr>
      <w:r>
        <w:t>(a)  </w:t>
      </w:r>
      <w:r>
        <w:t>In furthering the policy of the State of Illinois as expresse</w:t>
      </w:r>
      <w:r>
        <w:t>d in its Constitution and other laws; in order that the safety and general welfare, peace and health of all the inhabitants of the village may be ensured, it is hereby declared the policy of the Village of Arthur, Illinois, to ensure equal opportunity to a</w:t>
      </w:r>
      <w:r>
        <w:t xml:space="preserve">ll residents, regardless of race, color, religion, national origin or ancestry, sex, creed, or physical or mental disability to live in decent, sanitary, healthful, standard living quarters. </w:t>
      </w:r>
    </w:p>
    <w:p w:rsidR="00000000" w:rsidRDefault="0060540A">
      <w:pPr>
        <w:pStyle w:val="list0"/>
        <w:divId w:val="465896422"/>
      </w:pPr>
      <w:r>
        <w:t>(b)  </w:t>
      </w:r>
      <w:r>
        <w:t>It is the policy of the Village of Arthur that no owner, le</w:t>
      </w:r>
      <w:r>
        <w:t>ssee, sub-lessee, assignee, managing agent, or other person, firm or corporation having the right to sell, rent, lease (or otherwise control) any housing accommodation and/or real property with the village, or any agent of these shall refuse to sell, rent,</w:t>
      </w:r>
      <w:r>
        <w:t xml:space="preserve"> lease, or otherwise deny to or withhold from any person or group of persons such housing accommodations and/or real property because of race, color, religion, national origin or ancestry, sex, creed, or physical or mental disability of such person or disc</w:t>
      </w:r>
      <w:r>
        <w:t>riminate against any person because of race, color, religion, national origin or ancestry, sex, creed or physical or mental disability in the conditions, terms, privileges of the sale, rental or lease of any housing accommodation and/or real property or in</w:t>
      </w:r>
      <w:r>
        <w:t xml:space="preserve"> the furnishing of facilities and/or services in connection therewith. </w:t>
      </w:r>
    </w:p>
    <w:p w:rsidR="00000000" w:rsidRDefault="0060540A">
      <w:pPr>
        <w:pStyle w:val="list0"/>
        <w:divId w:val="465896422"/>
      </w:pPr>
      <w:r>
        <w:t>(c)  </w:t>
      </w:r>
      <w:r>
        <w:t>Relocation shall be carried out in a manner that will promote maximum choice within the community's total housing supply; lessen racial, ethnic, and economic concentrations; and f</w:t>
      </w:r>
      <w:r>
        <w:t xml:space="preserve">acilitate desegregation and racially inclusive patterns of occupancy and use of public and private facilities. </w:t>
      </w:r>
    </w:p>
    <w:p w:rsidR="00000000" w:rsidRDefault="0060540A">
      <w:pPr>
        <w:pStyle w:val="historynote0"/>
        <w:divId w:val="465896422"/>
      </w:pPr>
      <w:r>
        <w:t xml:space="preserve">(Ord. No. 12-21B-98, § 1, 12-21-1998) </w:t>
      </w:r>
    </w:p>
    <w:p w:rsidR="00000000" w:rsidRDefault="0060540A">
      <w:pPr>
        <w:pStyle w:val="sec"/>
        <w:divId w:val="465896422"/>
      </w:pPr>
      <w:bookmarkStart w:name="BK_DA5394169F8DE6137CC2F8BC7C9A768C" w:id="4"/>
      <w:bookmarkEnd w:id="4"/>
      <w:r>
        <w:t xml:space="preserve">Sec. 16-21. </w:t>
      </w:r>
      <w:r>
        <w:t> </w:t>
      </w:r>
      <w:r>
        <w:t xml:space="preserve"> Prohibited acts.</w:t>
      </w:r>
    </w:p>
    <w:p w:rsidR="00000000" w:rsidRDefault="0060540A">
      <w:pPr>
        <w:pStyle w:val="list0"/>
        <w:divId w:val="465896422"/>
      </w:pPr>
      <w:r>
        <w:t>(a)  </w:t>
      </w:r>
      <w:r>
        <w:t>It shall be unlawful for any owne</w:t>
      </w:r>
      <w:r>
        <w:t>r of real estate, lessee, sub-lessee, real estate broker or salesman, financial institution or employee of the financial institution, advertiser, or agent of any or all of the foregoing, to discriminate against any person because of their race, color, reli</w:t>
      </w:r>
      <w:r>
        <w:t xml:space="preserve">gion, national origin or ancestry, sex, creed, or physical or mental disability with regard to the sale, exchange or rental, or any dealing concerning any housing accommodation and/or real property. </w:t>
      </w:r>
    </w:p>
    <w:p w:rsidR="00000000" w:rsidRDefault="0060540A">
      <w:pPr>
        <w:pStyle w:val="list0"/>
        <w:divId w:val="465896422"/>
      </w:pPr>
      <w:r>
        <w:t>(b)  </w:t>
      </w:r>
      <w:r>
        <w:t>In addition to the foregoing, it shall also be unla</w:t>
      </w:r>
      <w:r>
        <w:t xml:space="preserve">wful for any real estate broker or employee thereof, owner or other person, or financial institution dealing with housing or real property in the Village of Arthur, Illinois: </w:t>
      </w:r>
    </w:p>
    <w:p w:rsidR="00000000" w:rsidRDefault="0060540A">
      <w:pPr>
        <w:pStyle w:val="list1"/>
        <w:divId w:val="465896422"/>
      </w:pPr>
      <w:r>
        <w:t>(1)  </w:t>
      </w:r>
      <w:r>
        <w:t>To discriminate against any person in the availability of or the price, ter</w:t>
      </w:r>
      <w:r>
        <w:t xml:space="preserve">ms, conditions, or privileges of any kind relating to the sale, rental, lease, or occupancy of any housing accommodation or real property in the village or in furnishing of any facilities or services in connection therewith. </w:t>
      </w:r>
    </w:p>
    <w:p w:rsidR="00000000" w:rsidRDefault="0060540A">
      <w:pPr>
        <w:pStyle w:val="list1"/>
        <w:divId w:val="465896422"/>
      </w:pPr>
      <w:r>
        <w:t>(2)  </w:t>
      </w:r>
      <w:r>
        <w:t xml:space="preserve">To publish or circulate, </w:t>
      </w:r>
      <w:r>
        <w:t>or cause to be published or circulated, any notice, statement or advertisement, or to announce a policy, or to use any form of application, for the purchase, lease, rental or financing of real property, or to make any record of inquiry in connection with t</w:t>
      </w:r>
      <w:r>
        <w:t xml:space="preserve">he prospective purchase, rental or lease of such real estate, which expresses directly or indirectly any discrimination as to race, color, religion, national origin or ancestry, sex, creed or physical or mental disability of any person. </w:t>
      </w:r>
    </w:p>
    <w:p w:rsidR="00000000" w:rsidRDefault="0060540A">
      <w:pPr>
        <w:pStyle w:val="list1"/>
        <w:divId w:val="465896422"/>
      </w:pPr>
      <w:r>
        <w:t>(3)  </w:t>
      </w:r>
      <w:r>
        <w:t>To discrimina</w:t>
      </w:r>
      <w:r>
        <w:t>te in connection with lending money, guaranteeing loans, accepting mortgages or otherwise obtaining or making available funds for the purchase, acquisition, construction, rehabilitation, repair or maintenance of any housing accommodation and/or real proper</w:t>
      </w:r>
      <w:r>
        <w:t xml:space="preserve">ty. </w:t>
      </w:r>
    </w:p>
    <w:p w:rsidR="00000000" w:rsidRDefault="0060540A">
      <w:pPr>
        <w:pStyle w:val="list1"/>
        <w:divId w:val="465896422"/>
      </w:pPr>
      <w:r>
        <w:t>(4)  </w:t>
      </w:r>
      <w:r>
        <w:t>To solicit for sale, lease, or listing for the sale or lease, of any housing accommodation and/or real property on the ground of loss of value because of the present or prospective entry into any neighborhood of any person of any particular race,</w:t>
      </w:r>
      <w:r>
        <w:t xml:space="preserve"> color, religion, national origin or ancestry, sex, creed, or physical or mental disability. </w:t>
      </w:r>
    </w:p>
    <w:p w:rsidR="00000000" w:rsidRDefault="0060540A">
      <w:pPr>
        <w:pStyle w:val="list1"/>
        <w:divId w:val="465896422"/>
      </w:pPr>
      <w:r>
        <w:t>(5)  </w:t>
      </w:r>
      <w:r>
        <w:t xml:space="preserve">To distribute or cause to be distributed, written material or statements designed </w:t>
      </w:r>
      <w:r>
        <w:t>to induce any owner or any housing accommodation and/or real property to sell or lease his property because of any present or prospective change in the race, color, religion, national origin or ancestry, sex, creed, or physical or mental disability of pers</w:t>
      </w:r>
      <w:r>
        <w:t xml:space="preserve">ons in the neighborhood. </w:t>
      </w:r>
    </w:p>
    <w:p w:rsidR="00000000" w:rsidRDefault="0060540A">
      <w:pPr>
        <w:pStyle w:val="list1"/>
        <w:divId w:val="465896422"/>
      </w:pPr>
      <w:r>
        <w:t>(6)  </w:t>
      </w:r>
      <w:r>
        <w:t xml:space="preserve">To make any misrepresentations concerning the listing for sale or the anticipated listing for sale or the sale of any housing accommodation and/or real property for the purpose of inducing or attempting to induce the sale or </w:t>
      </w:r>
      <w:r>
        <w:t>listing for sale of any housing accommodation and/or real property by representing that the presence or anticipated presence of persons of any particular race, color, religion, national origin or ancestry, sex, creed, or physical or mental disability in th</w:t>
      </w:r>
      <w:r>
        <w:t xml:space="preserve">e area will or may result in the lowering of property values in the block, neighborhood or area in which the property is located. </w:t>
      </w:r>
    </w:p>
    <w:p w:rsidR="00000000" w:rsidRDefault="0060540A">
      <w:pPr>
        <w:pStyle w:val="list1"/>
        <w:divId w:val="465896422"/>
      </w:pPr>
      <w:r>
        <w:t>(7)  </w:t>
      </w:r>
      <w:r>
        <w:t xml:space="preserve">For an owner to solicit any real estate broker to sell, rent or otherwise deal with such owner's housing accommodations </w:t>
      </w:r>
      <w:r>
        <w:t xml:space="preserve">and/or real property with any limitation on its sale based on race, color, religion, national origin or ancestry, sex, creed, physical or mental disability. </w:t>
      </w:r>
    </w:p>
    <w:p w:rsidR="00000000" w:rsidRDefault="0060540A">
      <w:pPr>
        <w:pStyle w:val="list1"/>
        <w:divId w:val="465896422"/>
      </w:pPr>
      <w:r>
        <w:t>(8)  </w:t>
      </w:r>
      <w:r>
        <w:t>For an owner to refuse to sell, rent, or otherwise deal with any housing accommodation and/or</w:t>
      </w:r>
      <w:r>
        <w:t xml:space="preserve"> real property because of race, color, religion, national origin or ancestry, sex, creed, or physical or mental disability of the proposed buyer or tenant. </w:t>
      </w:r>
    </w:p>
    <w:p w:rsidR="00000000" w:rsidRDefault="0060540A">
      <w:pPr>
        <w:pStyle w:val="historynote0"/>
        <w:divId w:val="465896422"/>
      </w:pPr>
      <w:r>
        <w:t xml:space="preserve">(Ord. No. 12-21B-98, § 3, 12-21-1998) </w:t>
      </w:r>
    </w:p>
    <w:p w:rsidR="00000000" w:rsidRDefault="0060540A">
      <w:pPr>
        <w:divId w:val="1982734471"/>
        <w:rPr>
          <w:rFonts w:eastAsia="Times New Roman"/>
        </w:rPr>
      </w:pPr>
    </w:p>
    <w:p w:rsidR="00000000" w:rsidRDefault="0060540A">
      <w:pPr>
        <w:divId w:val="1982734471"/>
        <w:rPr>
          <w:rFonts w:eastAsia="Times New Roman"/>
        </w:rPr>
      </w:pPr>
      <w:r>
        <w:rPr>
          <w:rFonts w:eastAsia="Times New Roman"/>
        </w:rPr>
        <w:pict>
          <v:rect id="_x0000_i1027" style="width:0;height:1.5pt" o:hr="t" o:hrstd="t" o:hralign="center" fillcolor="#a0a0a0" stroked="f"/>
        </w:pict>
      </w:r>
    </w:p>
    <w:p w:rsidR="00000000" w:rsidRDefault="0060540A">
      <w:pPr>
        <w:pStyle w:val="b0"/>
        <w:divId w:val="1982734471"/>
        <w:rPr>
          <w:rFonts w:eastAsiaTheme="minorEastAsia"/>
        </w:rPr>
      </w:pPr>
      <w:r>
        <w:t>FOOTNOTE(S):</w:t>
      </w:r>
    </w:p>
    <w:p w:rsidR="00000000" w:rsidRDefault="0060540A">
      <w:pPr>
        <w:divId w:val="1982734471"/>
        <w:rPr>
          <w:rFonts w:eastAsia="Times New Roman"/>
        </w:rPr>
      </w:pPr>
      <w:r>
        <w:rPr>
          <w:rFonts w:eastAsia="Times New Roman"/>
        </w:rPr>
        <w:pict>
          <v:rect id="_x0000_i1028" style="width:0;height:1.5pt" o:hr="t" o:hrstd="t" o:hralign="center" fillcolor="#a0a0a0" stroked="f"/>
        </w:pict>
      </w:r>
    </w:p>
    <w:p w:rsidR="00000000" w:rsidRDefault="0060540A">
      <w:pPr>
        <w:pStyle w:val="fnmarkfn"/>
        <w:divId w:val="578293073"/>
      </w:pPr>
      <w:r>
        <w:t>--- (</w:t>
      </w:r>
      <w:r>
        <w:rPr>
          <w:b/>
          <w:bCs/>
        </w:rPr>
        <w:t>2</w:t>
      </w:r>
      <w:r>
        <w:t xml:space="preserve">) --- </w:t>
      </w:r>
    </w:p>
    <w:p w:rsidR="00000000" w:rsidRDefault="0060540A">
      <w:pPr>
        <w:pStyle w:val="refstatelawfn"/>
        <w:divId w:val="578293073"/>
      </w:pPr>
      <w:r>
        <w:rPr>
          <w:b/>
          <w:bCs/>
        </w:rPr>
        <w:t xml:space="preserve">State Law reference— </w:t>
      </w:r>
      <w:r>
        <w:t xml:space="preserve">Fair housing 775 ILCS 5/3-101 et seq.; local fair housing ordinances, 65 ILCS 5/11-11.1-1. </w:t>
      </w:r>
      <w:hyperlink w:history="1" w:anchor="BK_CE28EED6F7F09709A78DC0FCF38DAA03">
        <w:r>
          <w:rPr>
            <w:rStyle w:val="Hyperlink"/>
          </w:rPr>
          <w:t>(Back)</w:t>
        </w:r>
      </w:hyperlink>
    </w:p>
    <w:sectPr w:rsidR="00000000">
      <w:pgSz w:w="12240" w:h="15840"/>
      <w:pgMar w:top="1440" w:right="1440" w:bottom="1440" w:left="1440" w:header="720" w:footer="720" w:gutter="0"/>
      <w:cols w:space="720"/>
      <w:docGrid w:linePitch="360"/>
      <w:headerReference r:id="Rd304fc75f99f4b4a"/>
      <w:footerReference r:id="Rebe41da1ad6f4ee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60540A"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60540A"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16 HUMAN RIGHTS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31974"/>
    <w:rsid w:val="004624C3"/>
    <w:rsid w:val="004F2014"/>
    <w:rsid w:val="004F6CB2"/>
    <w:rsid w:val="00521C38"/>
    <w:rsid w:val="0060540A"/>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34471">
      <w:bodyDiv w:val="1"/>
      <w:marLeft w:val="0"/>
      <w:marRight w:val="0"/>
      <w:marTop w:val="0"/>
      <w:marBottom w:val="0"/>
      <w:divBdr>
        <w:top w:val="none" w:sz="0" w:space="0" w:color="auto"/>
        <w:left w:val="none" w:sz="0" w:space="0" w:color="auto"/>
        <w:bottom w:val="none" w:sz="0" w:space="0" w:color="auto"/>
        <w:right w:val="none" w:sz="0" w:space="0" w:color="auto"/>
      </w:divBdr>
      <w:divsChild>
        <w:div w:id="1288316430">
          <w:marLeft w:val="0"/>
          <w:marRight w:val="0"/>
          <w:marTop w:val="0"/>
          <w:marBottom w:val="0"/>
          <w:divBdr>
            <w:top w:val="none" w:sz="0" w:space="0" w:color="auto"/>
            <w:left w:val="none" w:sz="0" w:space="0" w:color="auto"/>
            <w:bottom w:val="none" w:sz="0" w:space="0" w:color="auto"/>
            <w:right w:val="none" w:sz="0" w:space="0" w:color="auto"/>
          </w:divBdr>
          <w:divsChild>
            <w:div w:id="280691223">
              <w:marLeft w:val="0"/>
              <w:marRight w:val="0"/>
              <w:marTop w:val="0"/>
              <w:marBottom w:val="0"/>
              <w:divBdr>
                <w:top w:val="none" w:sz="0" w:space="0" w:color="auto"/>
                <w:left w:val="none" w:sz="0" w:space="0" w:color="auto"/>
                <w:bottom w:val="none" w:sz="0" w:space="0" w:color="auto"/>
                <w:right w:val="none" w:sz="0" w:space="0" w:color="auto"/>
              </w:divBdr>
            </w:div>
            <w:div w:id="965431004">
              <w:marLeft w:val="0"/>
              <w:marRight w:val="0"/>
              <w:marTop w:val="0"/>
              <w:marBottom w:val="0"/>
              <w:divBdr>
                <w:top w:val="none" w:sz="0" w:space="0" w:color="auto"/>
                <w:left w:val="none" w:sz="0" w:space="0" w:color="auto"/>
                <w:bottom w:val="none" w:sz="0" w:space="0" w:color="auto"/>
                <w:right w:val="none" w:sz="0" w:space="0" w:color="auto"/>
              </w:divBdr>
            </w:div>
            <w:div w:id="1691300833">
              <w:marLeft w:val="0"/>
              <w:marRight w:val="0"/>
              <w:marTop w:val="0"/>
              <w:marBottom w:val="0"/>
              <w:divBdr>
                <w:top w:val="none" w:sz="0" w:space="0" w:color="auto"/>
                <w:left w:val="none" w:sz="0" w:space="0" w:color="auto"/>
                <w:bottom w:val="none" w:sz="0" w:space="0" w:color="auto"/>
                <w:right w:val="none" w:sz="0" w:space="0" w:color="auto"/>
              </w:divBdr>
            </w:div>
          </w:divsChild>
        </w:div>
        <w:div w:id="1927611398">
          <w:marLeft w:val="0"/>
          <w:marRight w:val="0"/>
          <w:marTop w:val="0"/>
          <w:marBottom w:val="0"/>
          <w:divBdr>
            <w:top w:val="none" w:sz="0" w:space="0" w:color="auto"/>
            <w:left w:val="none" w:sz="0" w:space="0" w:color="auto"/>
            <w:bottom w:val="none" w:sz="0" w:space="0" w:color="auto"/>
            <w:right w:val="none" w:sz="0" w:space="0" w:color="auto"/>
          </w:divBdr>
        </w:div>
        <w:div w:id="1893924911">
          <w:marLeft w:val="0"/>
          <w:marRight w:val="0"/>
          <w:marTop w:val="0"/>
          <w:marBottom w:val="0"/>
          <w:divBdr>
            <w:top w:val="none" w:sz="0" w:space="0" w:color="auto"/>
            <w:left w:val="none" w:sz="0" w:space="0" w:color="auto"/>
            <w:bottom w:val="none" w:sz="0" w:space="0" w:color="auto"/>
            <w:right w:val="none" w:sz="0" w:space="0" w:color="auto"/>
          </w:divBdr>
        </w:div>
        <w:div w:id="465896422">
          <w:marLeft w:val="0"/>
          <w:marRight w:val="0"/>
          <w:marTop w:val="0"/>
          <w:marBottom w:val="0"/>
          <w:divBdr>
            <w:top w:val="none" w:sz="0" w:space="0" w:color="auto"/>
            <w:left w:val="none" w:sz="0" w:space="0" w:color="auto"/>
            <w:bottom w:val="none" w:sz="0" w:space="0" w:color="auto"/>
            <w:right w:val="none" w:sz="0" w:space="0" w:color="auto"/>
          </w:divBdr>
        </w:div>
        <w:div w:id="57829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6HURI.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d304fc75f99f4b4a" /><Relationship Type="http://schemas.openxmlformats.org/officeDocument/2006/relationships/footer" Target="/word/footer4.xml" Id="Rebe41da1ad6f4e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